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603" w:rsidRPr="00CE3327" w:rsidRDefault="00251603" w:rsidP="00251603">
      <w:pPr>
        <w:rPr>
          <w:rFonts w:eastAsia="Times New Roman" w:cstheme="minorHAnsi"/>
          <w:b/>
          <w:color w:val="0070C0"/>
          <w:sz w:val="24"/>
          <w:szCs w:val="24"/>
          <w:lang w:eastAsia="en-CA"/>
        </w:rPr>
      </w:pPr>
      <w:r w:rsidRPr="00CE3327">
        <w:rPr>
          <w:rFonts w:eastAsia="Times New Roman" w:cstheme="minorHAnsi"/>
          <w:b/>
          <w:color w:val="0070C0"/>
          <w:sz w:val="24"/>
          <w:szCs w:val="24"/>
          <w:lang w:eastAsia="en-CA"/>
        </w:rPr>
        <w:t>7. Dist</w:t>
      </w:r>
      <w:r>
        <w:rPr>
          <w:rFonts w:eastAsia="Times New Roman" w:cstheme="minorHAnsi"/>
          <w:b/>
          <w:color w:val="0070C0"/>
          <w:sz w:val="24"/>
          <w:szCs w:val="24"/>
          <w:lang w:eastAsia="en-CA"/>
        </w:rPr>
        <w:t>rict-Specific Stocking Standards</w:t>
      </w:r>
    </w:p>
    <w:p w:rsidR="00D86719" w:rsidRDefault="00D86719" w:rsidP="00D86719">
      <w:pPr>
        <w:pStyle w:val="PlainText"/>
        <w:spacing w:after="120"/>
      </w:pPr>
      <w:r>
        <w:t xml:space="preserve">Regarding inclusion of Pine in </w:t>
      </w:r>
      <w:r w:rsidR="001C6F8E">
        <w:t xml:space="preserve">reforestation prescriptions for new plantations in </w:t>
      </w:r>
      <w:r>
        <w:t xml:space="preserve">high-hazard </w:t>
      </w:r>
      <w:proofErr w:type="spellStart"/>
      <w:r w:rsidRPr="001C6F8E">
        <w:rPr>
          <w:i/>
        </w:rPr>
        <w:t>Dothistroma</w:t>
      </w:r>
      <w:proofErr w:type="spellEnd"/>
      <w:r>
        <w:t xml:space="preserve"> </w:t>
      </w:r>
      <w:r w:rsidR="001C6F8E">
        <w:t xml:space="preserve">(DFS) </w:t>
      </w:r>
      <w:r>
        <w:t>areas</w:t>
      </w:r>
      <w:r w:rsidR="001C6F8E">
        <w:t xml:space="preserve"> (mesic to moist ICHmc1, ICHmc2, and </w:t>
      </w:r>
      <w:proofErr w:type="spellStart"/>
      <w:r w:rsidR="001C6F8E">
        <w:t>CWHws</w:t>
      </w:r>
      <w:proofErr w:type="spellEnd"/>
      <w:r w:rsidR="001C6F8E">
        <w:t xml:space="preserve"> site series)</w:t>
      </w:r>
    </w:p>
    <w:p w:rsidR="00D86719" w:rsidRDefault="00D86719" w:rsidP="00D86719">
      <w:pPr>
        <w:pStyle w:val="PlainText"/>
        <w:numPr>
          <w:ilvl w:val="0"/>
          <w:numId w:val="9"/>
        </w:numPr>
        <w:spacing w:after="120"/>
        <w:ind w:left="357" w:hanging="357"/>
      </w:pPr>
      <w:r>
        <w:t xml:space="preserve">Significantly reduce the pine component in new plantations, and eliminate pine entirely in high DFS hazard areas. Note that by 2002 in recognition of DFS issues, </w:t>
      </w:r>
      <w:proofErr w:type="spellStart"/>
      <w:r>
        <w:t>Pli</w:t>
      </w:r>
      <w:proofErr w:type="spellEnd"/>
      <w:r>
        <w:t xml:space="preserve"> was either excluded or downgraded from a “preferred” to an “acceptable” species in Prince Rupert Regional Stocking Standard Guidelines for mesic to moist ICHmc1 and mc2 site series.</w:t>
      </w:r>
    </w:p>
    <w:p w:rsidR="00D86719" w:rsidRDefault="00D86719" w:rsidP="00D86719">
      <w:pPr>
        <w:pStyle w:val="PlainText"/>
        <w:numPr>
          <w:ilvl w:val="0"/>
          <w:numId w:val="9"/>
        </w:numPr>
        <w:spacing w:after="120"/>
        <w:ind w:left="357" w:hanging="357"/>
      </w:pPr>
      <w:r>
        <w:t>A maximum of 20% pine is allowed in high hazard areas.  Avoid planting pine in cold-air ponding sites.  Avoid planting pine in wetter ecosystems and areas of higher relative humidity, for example, adjacent to swamps, watercourses and brushy sites.</w:t>
      </w:r>
    </w:p>
    <w:p w:rsidR="0082688A" w:rsidRDefault="0082688A" w:rsidP="0082688A">
      <w:pPr>
        <w:spacing w:after="120" w:line="240" w:lineRule="auto"/>
        <w:rPr>
          <w:color w:val="0070C0"/>
        </w:rPr>
      </w:pPr>
      <w:bookmarkStart w:id="0" w:name="_GoBack"/>
      <w:bookmarkEnd w:id="0"/>
      <w:r w:rsidRPr="00CE3327">
        <w:rPr>
          <w:color w:val="0070C0"/>
        </w:rPr>
        <w:t>In the Southern Interior (Kootenay-Boundary and Thompson-Okanagan), work has begun to update stocking standards (as a joint District, Region, HQ, and Licensee project). Initial work has focused on reviewing the Chief Forester Reference Guide materials and developing draft information for Primary, Secondary, Tertiary species and Preferred and Acceptable species, with footnotes. Intent is to incorporate both promotions of species and demotions of species for climate change adaptation into Stocking Standards. This is also an opportunity to review some of the issues around stocking – heights, densities, spacing.</w:t>
      </w:r>
      <w:r>
        <w:rPr>
          <w:color w:val="0070C0"/>
        </w:rPr>
        <w:t xml:space="preserve"> </w:t>
      </w:r>
      <w:r w:rsidRPr="00251603">
        <w:rPr>
          <w:color w:val="0070C0"/>
          <w:highlight w:val="yellow"/>
        </w:rPr>
        <w:t xml:space="preserve">This is a </w:t>
      </w:r>
      <w:r>
        <w:rPr>
          <w:color w:val="0070C0"/>
          <w:highlight w:val="yellow"/>
        </w:rPr>
        <w:t xml:space="preserve">reasonable working </w:t>
      </w:r>
      <w:r w:rsidRPr="00251603">
        <w:rPr>
          <w:color w:val="0070C0"/>
          <w:highlight w:val="yellow"/>
        </w:rPr>
        <w:t xml:space="preserve">vision </w:t>
      </w:r>
      <w:r>
        <w:rPr>
          <w:color w:val="0070C0"/>
          <w:highlight w:val="yellow"/>
        </w:rPr>
        <w:t>for DSS</w:t>
      </w:r>
      <w:r w:rsidRPr="00251603">
        <w:rPr>
          <w:color w:val="0070C0"/>
          <w:highlight w:val="yellow"/>
        </w:rPr>
        <w:t>.</w:t>
      </w:r>
    </w:p>
    <w:p w:rsidR="0082688A" w:rsidRPr="00CE3327" w:rsidRDefault="0082688A" w:rsidP="0082688A">
      <w:pPr>
        <w:spacing w:after="120" w:line="240" w:lineRule="auto"/>
        <w:rPr>
          <w:color w:val="0070C0"/>
        </w:rPr>
      </w:pPr>
      <w:r>
        <w:rPr>
          <w:bCs/>
          <w:color w:val="0070C0"/>
        </w:rPr>
        <w:t>Goal</w:t>
      </w:r>
      <w:r w:rsidRPr="00CE3327">
        <w:rPr>
          <w:bCs/>
          <w:color w:val="0070C0"/>
        </w:rPr>
        <w:t xml:space="preserve"> is to develop a consistent set of stocking standards</w:t>
      </w:r>
      <w:r>
        <w:rPr>
          <w:bCs/>
          <w:color w:val="0070C0"/>
        </w:rPr>
        <w:t xml:space="preserve"> within District</w:t>
      </w:r>
      <w:r w:rsidRPr="00CE3327">
        <w:rPr>
          <w:bCs/>
          <w:color w:val="0070C0"/>
        </w:rPr>
        <w:t xml:space="preserve">. Licensee will not have to develop their own (unless they choose to); District staff will have `pre-reviewed` standards in the development stage. </w:t>
      </w:r>
      <w:r w:rsidRPr="00CE3327">
        <w:rPr>
          <w:color w:val="0070C0"/>
        </w:rPr>
        <w:t>Licensees will be able to propose alternatives.</w:t>
      </w:r>
    </w:p>
    <w:p w:rsidR="0082688A" w:rsidRPr="00CE3327" w:rsidRDefault="0082688A" w:rsidP="0082688A">
      <w:pPr>
        <w:spacing w:after="120" w:line="240" w:lineRule="auto"/>
        <w:rPr>
          <w:color w:val="0070C0"/>
        </w:rPr>
      </w:pPr>
      <w:r w:rsidRPr="00CE3327">
        <w:rPr>
          <w:color w:val="0070C0"/>
        </w:rPr>
        <w:t>Districts will have the ability to review and update Stocking Standards.</w:t>
      </w:r>
    </w:p>
    <w:p w:rsidR="0082688A" w:rsidRPr="00CE3327" w:rsidRDefault="0082688A" w:rsidP="0082688A">
      <w:pPr>
        <w:spacing w:after="120" w:line="240" w:lineRule="auto"/>
        <w:rPr>
          <w:color w:val="0070C0"/>
        </w:rPr>
      </w:pPr>
      <w:r>
        <w:rPr>
          <w:color w:val="0070C0"/>
        </w:rPr>
        <w:t>Steps</w:t>
      </w:r>
      <w:r w:rsidRPr="00CE3327">
        <w:rPr>
          <w:color w:val="0070C0"/>
        </w:rPr>
        <w:t xml:space="preserve">:  </w:t>
      </w:r>
    </w:p>
    <w:p w:rsidR="0082688A" w:rsidRPr="00CE3327" w:rsidRDefault="0082688A" w:rsidP="0082688A">
      <w:pPr>
        <w:pStyle w:val="ListParagraph"/>
        <w:numPr>
          <w:ilvl w:val="0"/>
          <w:numId w:val="3"/>
        </w:numPr>
        <w:spacing w:after="0" w:line="240" w:lineRule="auto"/>
        <w:ind w:left="357" w:hanging="357"/>
        <w:contextualSpacing w:val="0"/>
        <w:rPr>
          <w:color w:val="0070C0"/>
        </w:rPr>
      </w:pPr>
      <w:r>
        <w:rPr>
          <w:color w:val="0070C0"/>
        </w:rPr>
        <w:t>DSS Stewardship</w:t>
      </w:r>
      <w:r w:rsidRPr="00CE3327">
        <w:rPr>
          <w:color w:val="0070C0"/>
        </w:rPr>
        <w:t xml:space="preserve"> Staff</w:t>
      </w:r>
      <w:r>
        <w:rPr>
          <w:color w:val="0070C0"/>
        </w:rPr>
        <w:t xml:space="preserve">, Regional </w:t>
      </w:r>
      <w:proofErr w:type="spellStart"/>
      <w:r>
        <w:rPr>
          <w:color w:val="0070C0"/>
        </w:rPr>
        <w:t>Silviculture</w:t>
      </w:r>
      <w:proofErr w:type="spellEnd"/>
      <w:r>
        <w:rPr>
          <w:color w:val="0070C0"/>
        </w:rPr>
        <w:t xml:space="preserve"> Specialist (</w:t>
      </w:r>
      <w:r w:rsidRPr="00251603">
        <w:rPr>
          <w:color w:val="0070C0"/>
          <w:highlight w:val="yellow"/>
        </w:rPr>
        <w:t>Phil LePage</w:t>
      </w:r>
      <w:r>
        <w:rPr>
          <w:color w:val="0070C0"/>
        </w:rPr>
        <w:t>)</w:t>
      </w:r>
      <w:r w:rsidRPr="00CE3327">
        <w:rPr>
          <w:color w:val="0070C0"/>
        </w:rPr>
        <w:t xml:space="preserve"> and Ecologist</w:t>
      </w:r>
      <w:r>
        <w:rPr>
          <w:color w:val="0070C0"/>
        </w:rPr>
        <w:t xml:space="preserve"> (</w:t>
      </w:r>
      <w:r w:rsidRPr="00251603">
        <w:rPr>
          <w:color w:val="0070C0"/>
          <w:highlight w:val="yellow"/>
        </w:rPr>
        <w:t>Bruce Rogers, Wil MacKenzie</w:t>
      </w:r>
      <w:r>
        <w:rPr>
          <w:color w:val="0070C0"/>
        </w:rPr>
        <w:t>)</w:t>
      </w:r>
      <w:r w:rsidRPr="00CE3327">
        <w:rPr>
          <w:color w:val="0070C0"/>
        </w:rPr>
        <w:t xml:space="preserve"> initiate crosswalk from old stocking standards to new BEC</w:t>
      </w:r>
    </w:p>
    <w:p w:rsidR="0082688A" w:rsidRPr="00CE3327" w:rsidRDefault="0082688A" w:rsidP="0082688A">
      <w:pPr>
        <w:pStyle w:val="ListParagraph"/>
        <w:numPr>
          <w:ilvl w:val="0"/>
          <w:numId w:val="3"/>
        </w:numPr>
        <w:spacing w:after="0" w:line="240" w:lineRule="auto"/>
        <w:ind w:left="357" w:hanging="357"/>
        <w:contextualSpacing w:val="0"/>
        <w:rPr>
          <w:color w:val="0070C0"/>
        </w:rPr>
      </w:pPr>
      <w:r w:rsidRPr="00CE3327">
        <w:rPr>
          <w:color w:val="0070C0"/>
        </w:rPr>
        <w:t>Licensees, Branch, Regional Forest Health staff review preliminary list of stocking standards</w:t>
      </w:r>
    </w:p>
    <w:p w:rsidR="0082688A" w:rsidRPr="00CE3327" w:rsidRDefault="0082688A" w:rsidP="0082688A">
      <w:pPr>
        <w:pStyle w:val="ListParagraph"/>
        <w:numPr>
          <w:ilvl w:val="0"/>
          <w:numId w:val="3"/>
        </w:numPr>
        <w:spacing w:after="0" w:line="240" w:lineRule="auto"/>
        <w:ind w:left="357" w:hanging="357"/>
        <w:contextualSpacing w:val="0"/>
        <w:rPr>
          <w:color w:val="0070C0"/>
        </w:rPr>
      </w:pPr>
      <w:r w:rsidRPr="00CE3327">
        <w:rPr>
          <w:color w:val="0070C0"/>
        </w:rPr>
        <w:t>Workshop to propose new stocking standards</w:t>
      </w:r>
    </w:p>
    <w:p w:rsidR="0082688A" w:rsidRPr="00CE3327" w:rsidRDefault="0082688A" w:rsidP="0082688A">
      <w:pPr>
        <w:pStyle w:val="ListParagraph"/>
        <w:numPr>
          <w:ilvl w:val="0"/>
          <w:numId w:val="3"/>
        </w:numPr>
        <w:spacing w:after="0" w:line="240" w:lineRule="auto"/>
        <w:ind w:left="357" w:hanging="357"/>
        <w:contextualSpacing w:val="0"/>
        <w:rPr>
          <w:color w:val="0070C0"/>
        </w:rPr>
      </w:pPr>
      <w:r w:rsidRPr="00CE3327">
        <w:rPr>
          <w:color w:val="0070C0"/>
        </w:rPr>
        <w:t>New Chief Forester’s Reference Guide, “District Stocking Standards”, and Licensee FSP inputs</w:t>
      </w:r>
    </w:p>
    <w:p w:rsidR="0082688A" w:rsidRDefault="0082688A" w:rsidP="00251603">
      <w:pPr>
        <w:spacing w:after="120" w:line="240" w:lineRule="auto"/>
        <w:rPr>
          <w:color w:val="0070C0"/>
        </w:rPr>
      </w:pPr>
    </w:p>
    <w:p w:rsidR="0082688A" w:rsidRPr="0082688A" w:rsidRDefault="0082688A" w:rsidP="00251603">
      <w:pPr>
        <w:spacing w:after="120" w:line="240" w:lineRule="auto"/>
        <w:rPr>
          <w:color w:val="0070C0"/>
          <w:u w:val="single"/>
        </w:rPr>
      </w:pPr>
      <w:r w:rsidRPr="0082688A">
        <w:rPr>
          <w:color w:val="0070C0"/>
          <w:u w:val="single"/>
        </w:rPr>
        <w:t>Concepts for developing District-specific Stocking Standards</w:t>
      </w:r>
    </w:p>
    <w:p w:rsidR="00251603" w:rsidRPr="00CE3327" w:rsidRDefault="00251603" w:rsidP="00251603">
      <w:pPr>
        <w:spacing w:after="120" w:line="240" w:lineRule="auto"/>
        <w:rPr>
          <w:color w:val="0070C0"/>
        </w:rPr>
      </w:pPr>
      <w:r w:rsidRPr="00CE3327">
        <w:rPr>
          <w:color w:val="0070C0"/>
        </w:rPr>
        <w:t>Stocking standards must:</w:t>
      </w:r>
    </w:p>
    <w:p w:rsidR="00251603" w:rsidRPr="00CE3327" w:rsidRDefault="00251603" w:rsidP="00251603">
      <w:pPr>
        <w:pStyle w:val="ListParagraph"/>
        <w:numPr>
          <w:ilvl w:val="0"/>
          <w:numId w:val="2"/>
        </w:numPr>
        <w:spacing w:after="0" w:line="240" w:lineRule="auto"/>
        <w:rPr>
          <w:color w:val="0070C0"/>
        </w:rPr>
      </w:pPr>
      <w:r w:rsidRPr="00CE3327">
        <w:rPr>
          <w:color w:val="0070C0"/>
        </w:rPr>
        <w:t xml:space="preserve">Be based on ecologically appropriate species </w:t>
      </w:r>
    </w:p>
    <w:p w:rsidR="00251603" w:rsidRPr="00CE3327" w:rsidRDefault="00251603" w:rsidP="00251603">
      <w:pPr>
        <w:pStyle w:val="ListParagraph"/>
        <w:numPr>
          <w:ilvl w:val="0"/>
          <w:numId w:val="2"/>
        </w:numPr>
        <w:spacing w:after="0" w:line="240" w:lineRule="auto"/>
        <w:rPr>
          <w:color w:val="0070C0"/>
        </w:rPr>
      </w:pPr>
      <w:r w:rsidRPr="00CE3327">
        <w:rPr>
          <w:color w:val="0070C0"/>
        </w:rPr>
        <w:t>Be measurable</w:t>
      </w:r>
    </w:p>
    <w:p w:rsidR="00251603" w:rsidRPr="00CE3327" w:rsidRDefault="00251603" w:rsidP="00251603">
      <w:pPr>
        <w:numPr>
          <w:ilvl w:val="0"/>
          <w:numId w:val="1"/>
        </w:numPr>
        <w:spacing w:after="0" w:line="240" w:lineRule="auto"/>
        <w:rPr>
          <w:color w:val="0070C0"/>
        </w:rPr>
      </w:pPr>
      <w:r w:rsidRPr="00CE3327">
        <w:rPr>
          <w:color w:val="0070C0"/>
        </w:rPr>
        <w:t xml:space="preserve">Describe where and when it will apply – </w:t>
      </w:r>
      <w:r w:rsidRPr="00CE3327">
        <w:rPr>
          <w:b/>
          <w:bCs/>
          <w:color w:val="0070C0"/>
        </w:rPr>
        <w:t>a key element for innovative use</w:t>
      </w:r>
    </w:p>
    <w:p w:rsidR="00251603" w:rsidRPr="00CE3327" w:rsidRDefault="00251603" w:rsidP="00251603">
      <w:pPr>
        <w:numPr>
          <w:ilvl w:val="0"/>
          <w:numId w:val="1"/>
        </w:numPr>
        <w:spacing w:after="0" w:line="240" w:lineRule="auto"/>
        <w:rPr>
          <w:color w:val="0070C0"/>
        </w:rPr>
      </w:pPr>
      <w:r w:rsidRPr="00CE3327">
        <w:rPr>
          <w:color w:val="0070C0"/>
        </w:rPr>
        <w:t xml:space="preserve">Maintain or improve forest health </w:t>
      </w:r>
    </w:p>
    <w:p w:rsidR="00251603" w:rsidRPr="00CE3327" w:rsidRDefault="00251603" w:rsidP="00251603">
      <w:pPr>
        <w:numPr>
          <w:ilvl w:val="0"/>
          <w:numId w:val="1"/>
        </w:numPr>
        <w:spacing w:after="0" w:line="240" w:lineRule="auto"/>
        <w:rPr>
          <w:color w:val="0070C0"/>
        </w:rPr>
      </w:pPr>
      <w:r w:rsidRPr="00CE3327">
        <w:rPr>
          <w:color w:val="0070C0"/>
        </w:rPr>
        <w:t>Maintain stand productivity or minimize impacts to stand productivity</w:t>
      </w:r>
    </w:p>
    <w:p w:rsidR="00251603" w:rsidRPr="00CE3327" w:rsidRDefault="00251603" w:rsidP="00251603">
      <w:pPr>
        <w:numPr>
          <w:ilvl w:val="0"/>
          <w:numId w:val="1"/>
        </w:numPr>
        <w:spacing w:after="0" w:line="240" w:lineRule="auto"/>
        <w:rPr>
          <w:color w:val="0070C0"/>
        </w:rPr>
      </w:pPr>
      <w:r w:rsidRPr="00CE3327">
        <w:rPr>
          <w:color w:val="0070C0"/>
        </w:rPr>
        <w:t>Maintain or enhance commercially valuable timber supply</w:t>
      </w:r>
    </w:p>
    <w:p w:rsidR="00251603" w:rsidRPr="00CE3327" w:rsidRDefault="00251603" w:rsidP="00251603">
      <w:pPr>
        <w:numPr>
          <w:ilvl w:val="0"/>
          <w:numId w:val="1"/>
        </w:numPr>
        <w:spacing w:after="0" w:line="240" w:lineRule="auto"/>
        <w:rPr>
          <w:color w:val="0070C0"/>
        </w:rPr>
      </w:pPr>
      <w:r w:rsidRPr="00CE3327">
        <w:rPr>
          <w:color w:val="0070C0"/>
        </w:rPr>
        <w:t>Define acceptable levels of variability</w:t>
      </w:r>
    </w:p>
    <w:p w:rsidR="00251603" w:rsidRPr="00CE3327" w:rsidRDefault="00251603" w:rsidP="00251603">
      <w:pPr>
        <w:rPr>
          <w:color w:val="0070C0"/>
        </w:rPr>
      </w:pPr>
    </w:p>
    <w:p w:rsidR="00251603" w:rsidRPr="00CE3327" w:rsidRDefault="00251603" w:rsidP="00251603">
      <w:pPr>
        <w:spacing w:after="120" w:line="240" w:lineRule="auto"/>
        <w:rPr>
          <w:color w:val="0070C0"/>
        </w:rPr>
      </w:pPr>
      <w:r w:rsidRPr="00CE3327">
        <w:rPr>
          <w:color w:val="0070C0"/>
        </w:rPr>
        <w:t>Stocking standards must meet FPPR s. 26/ FRPA s. 16 tests:</w:t>
      </w:r>
    </w:p>
    <w:p w:rsidR="00251603" w:rsidRPr="00CE3327" w:rsidRDefault="00251603" w:rsidP="00251603">
      <w:pPr>
        <w:pStyle w:val="ListParagraph"/>
        <w:numPr>
          <w:ilvl w:val="0"/>
          <w:numId w:val="6"/>
        </w:numPr>
        <w:spacing w:after="120" w:line="240" w:lineRule="auto"/>
        <w:rPr>
          <w:color w:val="0070C0"/>
        </w:rPr>
      </w:pPr>
      <w:r w:rsidRPr="00CE3327">
        <w:rPr>
          <w:color w:val="0070C0"/>
        </w:rPr>
        <w:t>Address established objectives. Meet content requirements.</w:t>
      </w:r>
    </w:p>
    <w:p w:rsidR="00251603" w:rsidRPr="00CE3327" w:rsidRDefault="00251603" w:rsidP="00251603">
      <w:pPr>
        <w:pStyle w:val="ListParagraph"/>
        <w:numPr>
          <w:ilvl w:val="0"/>
          <w:numId w:val="6"/>
        </w:numPr>
        <w:spacing w:after="120" w:line="240" w:lineRule="auto"/>
        <w:rPr>
          <w:color w:val="0070C0"/>
        </w:rPr>
      </w:pPr>
      <w:r w:rsidRPr="00CE3327">
        <w:rPr>
          <w:color w:val="0070C0"/>
        </w:rPr>
        <w:t>Includes ecologically suitable species</w:t>
      </w:r>
    </w:p>
    <w:p w:rsidR="00251603" w:rsidRPr="00CE3327" w:rsidRDefault="00251603" w:rsidP="00251603">
      <w:pPr>
        <w:pStyle w:val="ListParagraph"/>
        <w:numPr>
          <w:ilvl w:val="0"/>
          <w:numId w:val="6"/>
        </w:numPr>
        <w:spacing w:after="120" w:line="240" w:lineRule="auto"/>
        <w:rPr>
          <w:color w:val="0070C0"/>
        </w:rPr>
      </w:pPr>
      <w:r w:rsidRPr="00CE3327">
        <w:rPr>
          <w:color w:val="0070C0"/>
        </w:rPr>
        <w:t>Pose no immediate or long-term forest health risks</w:t>
      </w:r>
    </w:p>
    <w:p w:rsidR="00251603" w:rsidRPr="00CE3327" w:rsidRDefault="00251603" w:rsidP="00251603">
      <w:pPr>
        <w:pStyle w:val="ListParagraph"/>
        <w:numPr>
          <w:ilvl w:val="0"/>
          <w:numId w:val="6"/>
        </w:numPr>
        <w:spacing w:after="120" w:line="240" w:lineRule="auto"/>
        <w:rPr>
          <w:color w:val="0070C0"/>
        </w:rPr>
      </w:pPr>
      <w:r w:rsidRPr="00CE3327">
        <w:rPr>
          <w:color w:val="0070C0"/>
        </w:rPr>
        <w:t>Maintain or enhance economically valuable supply of commercial timber</w:t>
      </w:r>
    </w:p>
    <w:p w:rsidR="00251603" w:rsidRPr="00CE3327" w:rsidRDefault="00251603" w:rsidP="00251603">
      <w:pPr>
        <w:pStyle w:val="ListParagraph"/>
        <w:numPr>
          <w:ilvl w:val="0"/>
          <w:numId w:val="6"/>
        </w:numPr>
        <w:spacing w:after="120" w:line="240" w:lineRule="auto"/>
        <w:rPr>
          <w:color w:val="0070C0"/>
        </w:rPr>
      </w:pPr>
      <w:r w:rsidRPr="00CE3327">
        <w:rPr>
          <w:color w:val="0070C0"/>
        </w:rPr>
        <w:t>Consistent with TSR analysis and assumptions. If inconsistent – DDM may consider for discretionary approval (per FPPR s. 26(5), new situations, allows for innovation, appropriate standards are not consistent with TSR. Will be judged for reasonableness based on criteria (e.g. successfully used on similar sites? Or, suitable for a trial on a limited area, with a monitoring plan? Rationale shows neutral or positive TSR impact, or negative impact offset by other benefits.</w:t>
      </w:r>
    </w:p>
    <w:p w:rsidR="00251603" w:rsidRPr="00CE3327" w:rsidRDefault="00251603" w:rsidP="00251603">
      <w:pPr>
        <w:spacing w:after="120" w:line="240" w:lineRule="auto"/>
        <w:rPr>
          <w:color w:val="0070C0"/>
        </w:rPr>
      </w:pPr>
      <w:r w:rsidRPr="00CE3327">
        <w:rPr>
          <w:color w:val="0070C0"/>
        </w:rPr>
        <w:br/>
        <w:t>Species selected must meet criteria of:</w:t>
      </w:r>
    </w:p>
    <w:p w:rsidR="00251603" w:rsidRPr="00CE3327" w:rsidRDefault="00251603" w:rsidP="00251603">
      <w:pPr>
        <w:numPr>
          <w:ilvl w:val="0"/>
          <w:numId w:val="1"/>
        </w:numPr>
        <w:tabs>
          <w:tab w:val="clear" w:pos="360"/>
        </w:tabs>
        <w:spacing w:after="120" w:line="240" w:lineRule="auto"/>
        <w:rPr>
          <w:color w:val="0070C0"/>
        </w:rPr>
      </w:pPr>
      <w:r w:rsidRPr="00CE3327">
        <w:rPr>
          <w:b/>
          <w:bCs/>
          <w:color w:val="0070C0"/>
        </w:rPr>
        <w:lastRenderedPageBreak/>
        <w:t>Feasibility</w:t>
      </w:r>
      <w:r w:rsidRPr="00CE3327">
        <w:rPr>
          <w:color w:val="0070C0"/>
        </w:rPr>
        <w:t xml:space="preserve"> – this is a critical component of all reforestation decisions and </w:t>
      </w:r>
      <w:r w:rsidRPr="00CE3327">
        <w:rPr>
          <w:b/>
          <w:bCs/>
          <w:color w:val="0070C0"/>
        </w:rPr>
        <w:t>is amplified when Climate Change suggests moving some species into areas where they were not previously found</w:t>
      </w:r>
    </w:p>
    <w:p w:rsidR="00251603" w:rsidRPr="00CE3327" w:rsidRDefault="00251603" w:rsidP="00251603">
      <w:pPr>
        <w:numPr>
          <w:ilvl w:val="0"/>
          <w:numId w:val="1"/>
        </w:numPr>
        <w:tabs>
          <w:tab w:val="clear" w:pos="360"/>
        </w:tabs>
        <w:spacing w:after="120" w:line="240" w:lineRule="auto"/>
        <w:rPr>
          <w:color w:val="0070C0"/>
        </w:rPr>
      </w:pPr>
      <w:r w:rsidRPr="00CE3327">
        <w:rPr>
          <w:b/>
          <w:bCs/>
          <w:color w:val="0070C0"/>
        </w:rPr>
        <w:t>Reliability</w:t>
      </w:r>
      <w:r w:rsidRPr="00CE3327">
        <w:rPr>
          <w:color w:val="0070C0"/>
        </w:rPr>
        <w:t xml:space="preserve"> – again critical – what threats are there now and potentially in the future – this is addressed by the long term forest health test</w:t>
      </w:r>
    </w:p>
    <w:p w:rsidR="00251603" w:rsidRPr="00CE3327" w:rsidRDefault="00251603" w:rsidP="00251603">
      <w:pPr>
        <w:numPr>
          <w:ilvl w:val="0"/>
          <w:numId w:val="1"/>
        </w:numPr>
        <w:tabs>
          <w:tab w:val="clear" w:pos="360"/>
        </w:tabs>
        <w:spacing w:after="120" w:line="240" w:lineRule="auto"/>
        <w:rPr>
          <w:color w:val="0070C0"/>
        </w:rPr>
      </w:pPr>
      <w:r w:rsidRPr="00CE3327">
        <w:rPr>
          <w:b/>
          <w:bCs/>
          <w:color w:val="0070C0"/>
        </w:rPr>
        <w:t>Productivity</w:t>
      </w:r>
      <w:r w:rsidRPr="00CE3327">
        <w:rPr>
          <w:color w:val="0070C0"/>
        </w:rPr>
        <w:t xml:space="preserve"> – this is again key, the tree improvement branch is fully committed to climate based seed transfer – matching genetics to growing conditions</w:t>
      </w:r>
    </w:p>
    <w:p w:rsidR="00251603" w:rsidRPr="00CE3327" w:rsidRDefault="00251603" w:rsidP="00251603">
      <w:pPr>
        <w:spacing w:after="120" w:line="240" w:lineRule="auto"/>
        <w:rPr>
          <w:color w:val="0070C0"/>
        </w:rPr>
      </w:pPr>
    </w:p>
    <w:p w:rsidR="00251603" w:rsidRPr="00CE3327" w:rsidRDefault="00251603" w:rsidP="00251603">
      <w:pPr>
        <w:rPr>
          <w:b/>
          <w:color w:val="0070C0"/>
        </w:rPr>
      </w:pPr>
      <w:r w:rsidRPr="00CE3327">
        <w:rPr>
          <w:b/>
          <w:color w:val="0070C0"/>
        </w:rPr>
        <w:t xml:space="preserve">Thoughts on </w:t>
      </w:r>
      <w:r>
        <w:rPr>
          <w:b/>
          <w:color w:val="0070C0"/>
        </w:rPr>
        <w:t>Standards</w:t>
      </w:r>
    </w:p>
    <w:p w:rsidR="00251603" w:rsidRPr="00CE3327" w:rsidRDefault="00251603" w:rsidP="00251603">
      <w:pPr>
        <w:rPr>
          <w:color w:val="0070C0"/>
        </w:rPr>
      </w:pPr>
      <w:r w:rsidRPr="00CE3327">
        <w:rPr>
          <w:color w:val="0070C0"/>
        </w:rPr>
        <w:t>Encourage planting of climate-friendly stock</w:t>
      </w:r>
    </w:p>
    <w:p w:rsidR="00251603" w:rsidRPr="00CE3327" w:rsidRDefault="00251603" w:rsidP="00251603">
      <w:pPr>
        <w:pStyle w:val="ListParagraph"/>
        <w:numPr>
          <w:ilvl w:val="1"/>
          <w:numId w:val="7"/>
        </w:numPr>
        <w:rPr>
          <w:color w:val="0070C0"/>
        </w:rPr>
      </w:pPr>
      <w:r w:rsidRPr="00CE3327">
        <w:rPr>
          <w:color w:val="0070C0"/>
        </w:rPr>
        <w:t>Identify a range of suitable species for ecosystems based on climate projections</w:t>
      </w:r>
    </w:p>
    <w:p w:rsidR="00251603" w:rsidRPr="00CE3327" w:rsidRDefault="00251603" w:rsidP="00251603">
      <w:pPr>
        <w:pStyle w:val="ListParagraph"/>
        <w:numPr>
          <w:ilvl w:val="1"/>
          <w:numId w:val="7"/>
        </w:numPr>
        <w:rPr>
          <w:color w:val="0070C0"/>
        </w:rPr>
      </w:pPr>
      <w:r w:rsidRPr="00CE3327">
        <w:rPr>
          <w:color w:val="0070C0"/>
        </w:rPr>
        <w:t>Consider means to increase the speed and breadth of assisted migration to increase the speed of transition</w:t>
      </w:r>
    </w:p>
    <w:p w:rsidR="00251603" w:rsidRPr="00CE3327" w:rsidRDefault="00251603" w:rsidP="00251603">
      <w:pPr>
        <w:rPr>
          <w:color w:val="0070C0"/>
        </w:rPr>
      </w:pPr>
      <w:r w:rsidRPr="00CE3327">
        <w:rPr>
          <w:color w:val="0070C0"/>
        </w:rPr>
        <w:t xml:space="preserve">Discourage reliance on planting </w:t>
      </w:r>
      <w:proofErr w:type="spellStart"/>
      <w:r w:rsidRPr="00CE3327">
        <w:rPr>
          <w:color w:val="0070C0"/>
        </w:rPr>
        <w:t>lodgepole</w:t>
      </w:r>
      <w:proofErr w:type="spellEnd"/>
      <w:r w:rsidRPr="00CE3327">
        <w:rPr>
          <w:color w:val="0070C0"/>
        </w:rPr>
        <w:t xml:space="preserve"> pine-dominated stands</w:t>
      </w:r>
    </w:p>
    <w:p w:rsidR="00251603" w:rsidRPr="00CE3327" w:rsidRDefault="00251603" w:rsidP="00251603">
      <w:pPr>
        <w:pStyle w:val="ListParagraph"/>
        <w:numPr>
          <w:ilvl w:val="1"/>
          <w:numId w:val="7"/>
        </w:numPr>
        <w:rPr>
          <w:color w:val="0070C0"/>
        </w:rPr>
      </w:pPr>
      <w:r w:rsidRPr="00CE3327">
        <w:rPr>
          <w:color w:val="0070C0"/>
        </w:rPr>
        <w:t xml:space="preserve">Relax </w:t>
      </w:r>
      <w:proofErr w:type="spellStart"/>
      <w:r w:rsidRPr="00CE3327">
        <w:rPr>
          <w:color w:val="0070C0"/>
        </w:rPr>
        <w:t>silvicultural</w:t>
      </w:r>
      <w:proofErr w:type="spellEnd"/>
      <w:r w:rsidRPr="00CE3327">
        <w:rPr>
          <w:color w:val="0070C0"/>
        </w:rPr>
        <w:t xml:space="preserve"> obligations when licensees reforest with climate-friendly stock?</w:t>
      </w:r>
    </w:p>
    <w:p w:rsidR="00251603" w:rsidRPr="00CE3327" w:rsidRDefault="00251603" w:rsidP="00251603">
      <w:pPr>
        <w:pStyle w:val="ListParagraph"/>
        <w:numPr>
          <w:ilvl w:val="1"/>
          <w:numId w:val="7"/>
        </w:numPr>
        <w:rPr>
          <w:color w:val="0070C0"/>
        </w:rPr>
      </w:pPr>
      <w:r w:rsidRPr="00CE3327">
        <w:rPr>
          <w:color w:val="0070C0"/>
        </w:rPr>
        <w:t>Restrict stocking standards?</w:t>
      </w:r>
    </w:p>
    <w:p w:rsidR="00251603" w:rsidRPr="00CE3327" w:rsidRDefault="00251603" w:rsidP="00251603">
      <w:pPr>
        <w:rPr>
          <w:color w:val="0070C0"/>
        </w:rPr>
      </w:pPr>
      <w:r w:rsidRPr="00CE3327">
        <w:rPr>
          <w:color w:val="0070C0"/>
        </w:rPr>
        <w:t>Encourage experimental trials</w:t>
      </w:r>
    </w:p>
    <w:p w:rsidR="00251603" w:rsidRPr="00CE3327" w:rsidRDefault="00251603" w:rsidP="00251603">
      <w:pPr>
        <w:pStyle w:val="ListParagraph"/>
        <w:numPr>
          <w:ilvl w:val="1"/>
          <w:numId w:val="8"/>
        </w:numPr>
        <w:rPr>
          <w:color w:val="0070C0"/>
        </w:rPr>
      </w:pPr>
      <w:r w:rsidRPr="00CE3327">
        <w:rPr>
          <w:color w:val="0070C0"/>
        </w:rPr>
        <w:t xml:space="preserve">Relax </w:t>
      </w:r>
      <w:proofErr w:type="spellStart"/>
      <w:r w:rsidRPr="00CE3327">
        <w:rPr>
          <w:color w:val="0070C0"/>
        </w:rPr>
        <w:t>silvicultural</w:t>
      </w:r>
      <w:proofErr w:type="spellEnd"/>
      <w:r w:rsidRPr="00CE3327">
        <w:rPr>
          <w:color w:val="0070C0"/>
        </w:rPr>
        <w:t xml:space="preserve"> obligations when licensees employ innovative </w:t>
      </w:r>
      <w:proofErr w:type="spellStart"/>
      <w:r w:rsidRPr="00CE3327">
        <w:rPr>
          <w:color w:val="0070C0"/>
        </w:rPr>
        <w:t>silvicultural</w:t>
      </w:r>
      <w:proofErr w:type="spellEnd"/>
      <w:r w:rsidRPr="00CE3327">
        <w:rPr>
          <w:color w:val="0070C0"/>
        </w:rPr>
        <w:t xml:space="preserve"> techniques to improve stand resilience to climate change?</w:t>
      </w:r>
    </w:p>
    <w:p w:rsidR="00251603" w:rsidRPr="00CE3327" w:rsidRDefault="00251603" w:rsidP="00251603">
      <w:pPr>
        <w:rPr>
          <w:color w:val="0070C0"/>
        </w:rPr>
      </w:pPr>
      <w:r w:rsidRPr="00CE3327">
        <w:rPr>
          <w:color w:val="0070C0"/>
        </w:rPr>
        <w:t>Expand monitoring to learn from experimental trials and new stocking standards</w:t>
      </w:r>
    </w:p>
    <w:p w:rsidR="00251603" w:rsidRPr="00CE3327" w:rsidRDefault="00251603" w:rsidP="00251603">
      <w:pPr>
        <w:pStyle w:val="ListParagraph"/>
        <w:numPr>
          <w:ilvl w:val="1"/>
          <w:numId w:val="8"/>
        </w:numPr>
        <w:rPr>
          <w:color w:val="0070C0"/>
        </w:rPr>
      </w:pPr>
      <w:r w:rsidRPr="00CE3327">
        <w:rPr>
          <w:color w:val="0070C0"/>
        </w:rPr>
        <w:t>Continue with FREP monitoring; expand FREP where weak</w:t>
      </w:r>
    </w:p>
    <w:p w:rsidR="00251603" w:rsidRPr="00CE3327" w:rsidRDefault="00251603" w:rsidP="00251603">
      <w:pPr>
        <w:rPr>
          <w:color w:val="0070C0"/>
        </w:rPr>
      </w:pPr>
      <w:r w:rsidRPr="00CE3327">
        <w:rPr>
          <w:color w:val="0070C0"/>
        </w:rPr>
        <w:t>Use results from monitoring to inform stocking standards</w:t>
      </w:r>
    </w:p>
    <w:p w:rsidR="00251603" w:rsidRPr="00CE3327" w:rsidRDefault="00251603" w:rsidP="00251603">
      <w:pPr>
        <w:spacing w:after="120"/>
        <w:rPr>
          <w:color w:val="0070C0"/>
        </w:rPr>
      </w:pPr>
      <w:r w:rsidRPr="00CE3327">
        <w:rPr>
          <w:color w:val="0070C0"/>
        </w:rPr>
        <w:t xml:space="preserve">Where suggesting use of non-local species – consider strengths and weaknesses in tree species responses (mixed vs single </w:t>
      </w:r>
      <w:proofErr w:type="spellStart"/>
      <w:r w:rsidRPr="00CE3327">
        <w:rPr>
          <w:color w:val="0070C0"/>
        </w:rPr>
        <w:t>spp</w:t>
      </w:r>
      <w:proofErr w:type="spellEnd"/>
      <w:r w:rsidRPr="00CE3327">
        <w:rPr>
          <w:color w:val="0070C0"/>
        </w:rPr>
        <w:t xml:space="preserve"> planting)</w:t>
      </w:r>
    </w:p>
    <w:p w:rsidR="00251603" w:rsidRPr="00CE3327" w:rsidRDefault="00251603" w:rsidP="00251603">
      <w:pPr>
        <w:spacing w:after="0" w:line="240" w:lineRule="auto"/>
        <w:rPr>
          <w:color w:val="0070C0"/>
        </w:rPr>
      </w:pPr>
    </w:p>
    <w:p w:rsidR="00251603" w:rsidRPr="00CE3327" w:rsidRDefault="00251603" w:rsidP="00251603">
      <w:pPr>
        <w:spacing w:after="0" w:line="240" w:lineRule="auto"/>
        <w:rPr>
          <w:color w:val="0070C0"/>
        </w:rPr>
      </w:pPr>
      <w:r w:rsidRPr="00CE3327">
        <w:rPr>
          <w:color w:val="0070C0"/>
          <w:highlight w:val="yellow"/>
        </w:rPr>
        <w:t xml:space="preserve">maximize species diversity, consider deciduous and </w:t>
      </w:r>
      <w:proofErr w:type="spellStart"/>
      <w:r w:rsidRPr="00CE3327">
        <w:rPr>
          <w:color w:val="0070C0"/>
          <w:highlight w:val="yellow"/>
        </w:rPr>
        <w:t>Fdi</w:t>
      </w:r>
      <w:proofErr w:type="spellEnd"/>
      <w:r w:rsidRPr="00CE3327">
        <w:rPr>
          <w:color w:val="0070C0"/>
          <w:highlight w:val="yellow"/>
        </w:rPr>
        <w:t xml:space="preserve">/ </w:t>
      </w:r>
      <w:proofErr w:type="spellStart"/>
      <w:r w:rsidRPr="00CE3327">
        <w:rPr>
          <w:color w:val="0070C0"/>
          <w:highlight w:val="yellow"/>
        </w:rPr>
        <w:t>Lw</w:t>
      </w:r>
      <w:proofErr w:type="spellEnd"/>
      <w:r w:rsidRPr="00CE3327">
        <w:rPr>
          <w:color w:val="0070C0"/>
          <w:highlight w:val="yellow"/>
        </w:rPr>
        <w:t xml:space="preserve">, consider higher densities if proposing </w:t>
      </w:r>
      <w:proofErr w:type="spellStart"/>
      <w:r w:rsidRPr="00CE3327">
        <w:rPr>
          <w:color w:val="0070C0"/>
          <w:highlight w:val="yellow"/>
        </w:rPr>
        <w:t>Pli</w:t>
      </w:r>
      <w:proofErr w:type="spellEnd"/>
      <w:r w:rsidRPr="00CE3327">
        <w:rPr>
          <w:color w:val="0070C0"/>
          <w:highlight w:val="yellow"/>
        </w:rPr>
        <w:t xml:space="preserve">-leading, consider underlying </w:t>
      </w:r>
      <w:proofErr w:type="spellStart"/>
      <w:r w:rsidRPr="00CE3327">
        <w:rPr>
          <w:color w:val="0070C0"/>
          <w:highlight w:val="yellow"/>
        </w:rPr>
        <w:t>zonations</w:t>
      </w:r>
      <w:proofErr w:type="spellEnd"/>
      <w:r w:rsidRPr="00CE3327">
        <w:rPr>
          <w:color w:val="0070C0"/>
          <w:highlight w:val="yellow"/>
        </w:rPr>
        <w:t xml:space="preserve"> and other </w:t>
      </w:r>
      <w:proofErr w:type="spellStart"/>
      <w:r w:rsidRPr="00CE3327">
        <w:rPr>
          <w:color w:val="0070C0"/>
          <w:highlight w:val="yellow"/>
        </w:rPr>
        <w:t>landbase</w:t>
      </w:r>
      <w:proofErr w:type="spellEnd"/>
      <w:r w:rsidRPr="00CE3327">
        <w:rPr>
          <w:color w:val="0070C0"/>
          <w:highlight w:val="yellow"/>
        </w:rPr>
        <w:t xml:space="preserve"> uses when selecting densities and species (e.g. berry production areas; HV grizzly bear habitat); religious capture of forest health factors during FG survey in attempt to keep track of forest health agent movement; stress importance of maintaining a good inventory</w:t>
      </w:r>
    </w:p>
    <w:p w:rsidR="00251603" w:rsidRPr="00CE3327" w:rsidRDefault="00251603" w:rsidP="00251603">
      <w:pPr>
        <w:spacing w:after="0" w:line="240" w:lineRule="auto"/>
        <w:rPr>
          <w:color w:val="0070C0"/>
        </w:rPr>
      </w:pPr>
    </w:p>
    <w:p w:rsidR="00251603" w:rsidRPr="00CE3327" w:rsidRDefault="00251603" w:rsidP="00251603">
      <w:pPr>
        <w:spacing w:after="0" w:line="240" w:lineRule="auto"/>
        <w:rPr>
          <w:color w:val="0070C0"/>
        </w:rPr>
      </w:pPr>
    </w:p>
    <w:p w:rsidR="00251603" w:rsidRPr="00CE3327" w:rsidRDefault="00251603" w:rsidP="00251603">
      <w:pPr>
        <w:spacing w:after="0" w:line="240" w:lineRule="auto"/>
        <w:rPr>
          <w:color w:val="0070C0"/>
        </w:rPr>
      </w:pPr>
      <w:r w:rsidRPr="00CE3327">
        <w:rPr>
          <w:color w:val="0070C0"/>
        </w:rPr>
        <w:t>Develop Fire Management Stocking Standards:</w:t>
      </w:r>
    </w:p>
    <w:p w:rsidR="00251603" w:rsidRPr="00CE3327" w:rsidRDefault="00251603" w:rsidP="00251603">
      <w:pPr>
        <w:spacing w:after="0" w:line="240" w:lineRule="auto"/>
        <w:rPr>
          <w:color w:val="0070C0"/>
        </w:rPr>
      </w:pPr>
      <w:r w:rsidRPr="00CE3327">
        <w:rPr>
          <w:color w:val="0070C0"/>
        </w:rPr>
        <w:br/>
        <w:t>Species Considerations – here are representative Canopy Bulk Densities (kg/cubic meter) for a single tree of the same size (</w:t>
      </w:r>
      <w:proofErr w:type="spellStart"/>
      <w:r w:rsidRPr="00CE3327">
        <w:rPr>
          <w:color w:val="0070C0"/>
        </w:rPr>
        <w:t>approx</w:t>
      </w:r>
      <w:proofErr w:type="spellEnd"/>
      <w:r w:rsidRPr="00CE3327">
        <w:rPr>
          <w:color w:val="0070C0"/>
        </w:rPr>
        <w:t xml:space="preserve"> 30cm </w:t>
      </w:r>
      <w:proofErr w:type="spellStart"/>
      <w:r w:rsidRPr="00CE3327">
        <w:rPr>
          <w:color w:val="0070C0"/>
        </w:rPr>
        <w:t>dbh</w:t>
      </w:r>
      <w:proofErr w:type="spellEnd"/>
      <w:r w:rsidRPr="00CE3327">
        <w:rPr>
          <w:color w:val="0070C0"/>
        </w:rPr>
        <w:t xml:space="preserve"> and 20 m tall</w:t>
      </w:r>
      <w:proofErr w:type="gramStart"/>
      <w:r w:rsidRPr="00CE3327">
        <w:rPr>
          <w:color w:val="0070C0"/>
        </w:rPr>
        <w:t>)  In</w:t>
      </w:r>
      <w:proofErr w:type="gramEnd"/>
      <w:r w:rsidRPr="00CE3327">
        <w:rPr>
          <w:color w:val="0070C0"/>
        </w:rPr>
        <w:t xml:space="preserve"> order of decreasing bulk density – higher means hotter</w:t>
      </w:r>
    </w:p>
    <w:p w:rsidR="00251603" w:rsidRPr="00CE3327" w:rsidRDefault="00251603" w:rsidP="00251603">
      <w:pPr>
        <w:numPr>
          <w:ilvl w:val="0"/>
          <w:numId w:val="4"/>
        </w:numPr>
        <w:spacing w:after="0" w:line="240" w:lineRule="auto"/>
        <w:rPr>
          <w:color w:val="0070C0"/>
        </w:rPr>
      </w:pPr>
      <w:r w:rsidRPr="00CE3327">
        <w:rPr>
          <w:color w:val="0070C0"/>
        </w:rPr>
        <w:lastRenderedPageBreak/>
        <w:t>Douglas-fir 0.00077</w:t>
      </w:r>
    </w:p>
    <w:p w:rsidR="00251603" w:rsidRPr="00CE3327" w:rsidRDefault="00251603" w:rsidP="00251603">
      <w:pPr>
        <w:numPr>
          <w:ilvl w:val="0"/>
          <w:numId w:val="4"/>
        </w:numPr>
        <w:spacing w:after="0" w:line="240" w:lineRule="auto"/>
        <w:rPr>
          <w:color w:val="0070C0"/>
        </w:rPr>
      </w:pPr>
      <w:r w:rsidRPr="00CE3327">
        <w:rPr>
          <w:color w:val="0070C0"/>
        </w:rPr>
        <w:t>Western red-cedar 0.00075</w:t>
      </w:r>
    </w:p>
    <w:p w:rsidR="00251603" w:rsidRPr="00CE3327" w:rsidRDefault="00251603" w:rsidP="00251603">
      <w:pPr>
        <w:numPr>
          <w:ilvl w:val="0"/>
          <w:numId w:val="4"/>
        </w:numPr>
        <w:spacing w:after="0" w:line="240" w:lineRule="auto"/>
        <w:rPr>
          <w:color w:val="0070C0"/>
        </w:rPr>
      </w:pPr>
      <w:r w:rsidRPr="00CE3327">
        <w:rPr>
          <w:color w:val="0070C0"/>
        </w:rPr>
        <w:t>Grand fir 0.00060</w:t>
      </w:r>
    </w:p>
    <w:p w:rsidR="00251603" w:rsidRPr="00CE3327" w:rsidRDefault="00251603" w:rsidP="00251603">
      <w:pPr>
        <w:numPr>
          <w:ilvl w:val="0"/>
          <w:numId w:val="4"/>
        </w:numPr>
        <w:spacing w:after="0" w:line="240" w:lineRule="auto"/>
        <w:rPr>
          <w:color w:val="0070C0"/>
        </w:rPr>
      </w:pPr>
      <w:r w:rsidRPr="00CE3327">
        <w:rPr>
          <w:color w:val="0070C0"/>
        </w:rPr>
        <w:t>Western hemlock 0.00054</w:t>
      </w:r>
    </w:p>
    <w:p w:rsidR="00251603" w:rsidRPr="00CE3327" w:rsidRDefault="00251603" w:rsidP="00251603">
      <w:pPr>
        <w:numPr>
          <w:ilvl w:val="0"/>
          <w:numId w:val="4"/>
        </w:numPr>
        <w:spacing w:after="0" w:line="240" w:lineRule="auto"/>
        <w:rPr>
          <w:color w:val="0070C0"/>
        </w:rPr>
      </w:pPr>
      <w:proofErr w:type="spellStart"/>
      <w:r w:rsidRPr="00CE3327">
        <w:rPr>
          <w:color w:val="0070C0"/>
        </w:rPr>
        <w:t>Lodgepole</w:t>
      </w:r>
      <w:proofErr w:type="spellEnd"/>
      <w:r w:rsidRPr="00CE3327">
        <w:rPr>
          <w:color w:val="0070C0"/>
        </w:rPr>
        <w:t xml:space="preserve"> pine 0.00033</w:t>
      </w:r>
    </w:p>
    <w:p w:rsidR="00251603" w:rsidRPr="00CE3327" w:rsidRDefault="00251603" w:rsidP="00251603">
      <w:pPr>
        <w:numPr>
          <w:ilvl w:val="0"/>
          <w:numId w:val="4"/>
        </w:numPr>
        <w:spacing w:after="0" w:line="240" w:lineRule="auto"/>
        <w:rPr>
          <w:color w:val="0070C0"/>
        </w:rPr>
      </w:pPr>
      <w:r w:rsidRPr="00CE3327">
        <w:rPr>
          <w:color w:val="0070C0"/>
        </w:rPr>
        <w:t>Western white pine 0.00026</w:t>
      </w:r>
    </w:p>
    <w:p w:rsidR="00251603" w:rsidRPr="00CE3327" w:rsidRDefault="00251603" w:rsidP="00251603">
      <w:pPr>
        <w:numPr>
          <w:ilvl w:val="0"/>
          <w:numId w:val="4"/>
        </w:numPr>
        <w:spacing w:after="0" w:line="240" w:lineRule="auto"/>
        <w:rPr>
          <w:color w:val="0070C0"/>
        </w:rPr>
      </w:pPr>
      <w:r w:rsidRPr="00CE3327">
        <w:rPr>
          <w:color w:val="0070C0"/>
        </w:rPr>
        <w:t xml:space="preserve">Ponderosa pine 0.00022 </w:t>
      </w:r>
    </w:p>
    <w:p w:rsidR="00251603" w:rsidRPr="00CE3327" w:rsidRDefault="00251603" w:rsidP="00251603">
      <w:pPr>
        <w:numPr>
          <w:ilvl w:val="0"/>
          <w:numId w:val="4"/>
        </w:numPr>
        <w:spacing w:after="0" w:line="240" w:lineRule="auto"/>
        <w:rPr>
          <w:color w:val="0070C0"/>
        </w:rPr>
      </w:pPr>
      <w:r w:rsidRPr="00CE3327">
        <w:rPr>
          <w:color w:val="0070C0"/>
        </w:rPr>
        <w:t>Western larch 0.00017</w:t>
      </w:r>
    </w:p>
    <w:p w:rsidR="00251603" w:rsidRPr="00CE3327" w:rsidRDefault="00251603" w:rsidP="00251603">
      <w:pPr>
        <w:spacing w:after="0" w:line="240" w:lineRule="auto"/>
        <w:rPr>
          <w:color w:val="0070C0"/>
        </w:rPr>
      </w:pPr>
    </w:p>
    <w:p w:rsidR="00251603" w:rsidRPr="00CE3327" w:rsidRDefault="00251603" w:rsidP="00251603">
      <w:pPr>
        <w:spacing w:after="0" w:line="240" w:lineRule="auto"/>
        <w:rPr>
          <w:color w:val="0070C0"/>
        </w:rPr>
      </w:pPr>
      <w:r w:rsidRPr="00CE3327">
        <w:rPr>
          <w:color w:val="0070C0"/>
        </w:rPr>
        <w:t>Fire Resistance</w:t>
      </w:r>
    </w:p>
    <w:p w:rsidR="00251603" w:rsidRPr="00CE3327" w:rsidRDefault="00251603" w:rsidP="00251603">
      <w:pPr>
        <w:numPr>
          <w:ilvl w:val="0"/>
          <w:numId w:val="5"/>
        </w:numPr>
        <w:spacing w:after="0" w:line="240" w:lineRule="auto"/>
        <w:rPr>
          <w:color w:val="0070C0"/>
        </w:rPr>
      </w:pPr>
      <w:r w:rsidRPr="00CE3327">
        <w:rPr>
          <w:b/>
          <w:bCs/>
          <w:color w:val="0070C0"/>
        </w:rPr>
        <w:t>High</w:t>
      </w:r>
      <w:r w:rsidRPr="00CE3327">
        <w:rPr>
          <w:color w:val="0070C0"/>
        </w:rPr>
        <w:t xml:space="preserve"> - western larch, ponderosa pine, Douglas-fir</w:t>
      </w:r>
    </w:p>
    <w:p w:rsidR="00251603" w:rsidRPr="00CE3327" w:rsidRDefault="00251603" w:rsidP="00251603">
      <w:pPr>
        <w:numPr>
          <w:ilvl w:val="0"/>
          <w:numId w:val="5"/>
        </w:numPr>
        <w:spacing w:after="0" w:line="240" w:lineRule="auto"/>
        <w:rPr>
          <w:color w:val="0070C0"/>
        </w:rPr>
      </w:pPr>
      <w:r w:rsidRPr="00CE3327">
        <w:rPr>
          <w:b/>
          <w:bCs/>
          <w:color w:val="0070C0"/>
        </w:rPr>
        <w:t>Moderate</w:t>
      </w:r>
      <w:r w:rsidRPr="00CE3327">
        <w:rPr>
          <w:color w:val="0070C0"/>
        </w:rPr>
        <w:t xml:space="preserve"> - western white pine, </w:t>
      </w:r>
      <w:proofErr w:type="spellStart"/>
      <w:r w:rsidRPr="00CE3327">
        <w:rPr>
          <w:color w:val="0070C0"/>
        </w:rPr>
        <w:t>lodgepole</w:t>
      </w:r>
      <w:proofErr w:type="spellEnd"/>
      <w:r w:rsidRPr="00CE3327">
        <w:rPr>
          <w:color w:val="0070C0"/>
        </w:rPr>
        <w:t xml:space="preserve"> pine, western red-cedar</w:t>
      </w:r>
    </w:p>
    <w:p w:rsidR="00251603" w:rsidRPr="00CE3327" w:rsidRDefault="00251603" w:rsidP="00251603">
      <w:pPr>
        <w:numPr>
          <w:ilvl w:val="0"/>
          <w:numId w:val="5"/>
        </w:numPr>
        <w:spacing w:after="0" w:line="240" w:lineRule="auto"/>
        <w:rPr>
          <w:color w:val="0070C0"/>
        </w:rPr>
      </w:pPr>
      <w:r w:rsidRPr="00CE3327">
        <w:rPr>
          <w:b/>
          <w:bCs/>
          <w:color w:val="0070C0"/>
        </w:rPr>
        <w:t>Low</w:t>
      </w:r>
      <w:r w:rsidRPr="00CE3327">
        <w:rPr>
          <w:color w:val="0070C0"/>
        </w:rPr>
        <w:t xml:space="preserve"> - western hemlock, grand fir, Pacific silver fir</w:t>
      </w:r>
    </w:p>
    <w:p w:rsidR="00251603" w:rsidRPr="00CE3327" w:rsidRDefault="00251603" w:rsidP="00251603">
      <w:pPr>
        <w:numPr>
          <w:ilvl w:val="0"/>
          <w:numId w:val="5"/>
        </w:numPr>
        <w:spacing w:after="0" w:line="240" w:lineRule="auto"/>
        <w:rPr>
          <w:color w:val="0070C0"/>
        </w:rPr>
      </w:pPr>
      <w:r w:rsidRPr="00CE3327">
        <w:rPr>
          <w:color w:val="0070C0"/>
        </w:rPr>
        <w:t>Notes - Highly dependent on bark thickness (thicker is better), rooting habit (deep is better), branching habit (</w:t>
      </w:r>
      <w:proofErr w:type="spellStart"/>
      <w:r w:rsidRPr="00CE3327">
        <w:rPr>
          <w:color w:val="0070C0"/>
        </w:rPr>
        <w:t>self pruning</w:t>
      </w:r>
      <w:proofErr w:type="spellEnd"/>
      <w:r w:rsidRPr="00CE3327">
        <w:rPr>
          <w:color w:val="0070C0"/>
        </w:rPr>
        <w:t xml:space="preserve"> is better), foliage density (less is better) and associated species. Relationships and categorization vary with age and opinion.</w:t>
      </w:r>
    </w:p>
    <w:p w:rsidR="00251603" w:rsidRPr="00CE3327" w:rsidRDefault="00251603" w:rsidP="00251603">
      <w:pPr>
        <w:spacing w:after="0" w:line="240" w:lineRule="auto"/>
        <w:ind w:left="360"/>
        <w:rPr>
          <w:color w:val="0070C0"/>
        </w:rPr>
      </w:pPr>
      <w:r w:rsidRPr="00CE3327">
        <w:rPr>
          <w:color w:val="0070C0"/>
        </w:rPr>
        <w:t>Flammability</w:t>
      </w:r>
    </w:p>
    <w:p w:rsidR="00251603" w:rsidRPr="00CE3327" w:rsidRDefault="00251603" w:rsidP="00251603">
      <w:pPr>
        <w:numPr>
          <w:ilvl w:val="0"/>
          <w:numId w:val="5"/>
        </w:numPr>
        <w:spacing w:after="0" w:line="240" w:lineRule="auto"/>
        <w:rPr>
          <w:color w:val="0070C0"/>
        </w:rPr>
      </w:pPr>
      <w:r w:rsidRPr="00CE3327">
        <w:rPr>
          <w:color w:val="0070C0"/>
        </w:rPr>
        <w:t>Deciduous species are generally far less flammable than coniferous species.</w:t>
      </w:r>
    </w:p>
    <w:p w:rsidR="00251603" w:rsidRPr="00CE3327" w:rsidRDefault="00251603" w:rsidP="00251603">
      <w:pPr>
        <w:spacing w:after="120"/>
        <w:rPr>
          <w:color w:val="0070C0"/>
        </w:rPr>
      </w:pPr>
    </w:p>
    <w:p w:rsidR="00251603" w:rsidRPr="00CE3327" w:rsidRDefault="00251603" w:rsidP="00251603">
      <w:pPr>
        <w:spacing w:after="0" w:line="240" w:lineRule="auto"/>
        <w:rPr>
          <w:color w:val="0070C0"/>
        </w:rPr>
      </w:pPr>
    </w:p>
    <w:p w:rsidR="00251603" w:rsidRPr="00CE3327" w:rsidRDefault="00251603" w:rsidP="00251603">
      <w:pPr>
        <w:spacing w:after="0" w:line="240" w:lineRule="auto"/>
        <w:rPr>
          <w:rFonts w:cs="Palatino Linotype"/>
          <w:color w:val="0070C0"/>
        </w:rPr>
      </w:pPr>
    </w:p>
    <w:p w:rsidR="00251603" w:rsidRPr="00CE3327" w:rsidRDefault="00251603" w:rsidP="00251603">
      <w:pPr>
        <w:spacing w:after="0" w:line="240" w:lineRule="auto"/>
        <w:rPr>
          <w:rFonts w:cs="Palatino Linotype"/>
          <w:color w:val="0070C0"/>
        </w:rPr>
      </w:pPr>
    </w:p>
    <w:p w:rsidR="009C3698" w:rsidRDefault="001C6F8E"/>
    <w:sectPr w:rsidR="009C369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5398A"/>
    <w:multiLevelType w:val="hybridMultilevel"/>
    <w:tmpl w:val="318E7174"/>
    <w:lvl w:ilvl="0" w:tplc="E1D09A48">
      <w:start w:val="1"/>
      <w:numFmt w:val="bullet"/>
      <w:lvlText w:val=""/>
      <w:lvlJc w:val="left"/>
      <w:pPr>
        <w:tabs>
          <w:tab w:val="num" w:pos="360"/>
        </w:tabs>
        <w:ind w:left="360" w:hanging="360"/>
      </w:pPr>
      <w:rPr>
        <w:rFonts w:ascii="Wingdings 2" w:hAnsi="Wingdings 2" w:hint="default"/>
      </w:rPr>
    </w:lvl>
    <w:lvl w:ilvl="1" w:tplc="6A56E722">
      <w:start w:val="1233"/>
      <w:numFmt w:val="bullet"/>
      <w:lvlText w:val=""/>
      <w:lvlJc w:val="left"/>
      <w:pPr>
        <w:tabs>
          <w:tab w:val="num" w:pos="1080"/>
        </w:tabs>
        <w:ind w:left="1080" w:hanging="360"/>
      </w:pPr>
      <w:rPr>
        <w:rFonts w:ascii="Wingdings 2" w:hAnsi="Wingdings 2" w:hint="default"/>
      </w:rPr>
    </w:lvl>
    <w:lvl w:ilvl="2" w:tplc="A1C6AC8C" w:tentative="1">
      <w:start w:val="1"/>
      <w:numFmt w:val="bullet"/>
      <w:lvlText w:val=""/>
      <w:lvlJc w:val="left"/>
      <w:pPr>
        <w:tabs>
          <w:tab w:val="num" w:pos="1800"/>
        </w:tabs>
        <w:ind w:left="1800" w:hanging="360"/>
      </w:pPr>
      <w:rPr>
        <w:rFonts w:ascii="Wingdings 2" w:hAnsi="Wingdings 2" w:hint="default"/>
      </w:rPr>
    </w:lvl>
    <w:lvl w:ilvl="3" w:tplc="18AA70A4" w:tentative="1">
      <w:start w:val="1"/>
      <w:numFmt w:val="bullet"/>
      <w:lvlText w:val=""/>
      <w:lvlJc w:val="left"/>
      <w:pPr>
        <w:tabs>
          <w:tab w:val="num" w:pos="2520"/>
        </w:tabs>
        <w:ind w:left="2520" w:hanging="360"/>
      </w:pPr>
      <w:rPr>
        <w:rFonts w:ascii="Wingdings 2" w:hAnsi="Wingdings 2" w:hint="default"/>
      </w:rPr>
    </w:lvl>
    <w:lvl w:ilvl="4" w:tplc="B0D2063C" w:tentative="1">
      <w:start w:val="1"/>
      <w:numFmt w:val="bullet"/>
      <w:lvlText w:val=""/>
      <w:lvlJc w:val="left"/>
      <w:pPr>
        <w:tabs>
          <w:tab w:val="num" w:pos="3240"/>
        </w:tabs>
        <w:ind w:left="3240" w:hanging="360"/>
      </w:pPr>
      <w:rPr>
        <w:rFonts w:ascii="Wingdings 2" w:hAnsi="Wingdings 2" w:hint="default"/>
      </w:rPr>
    </w:lvl>
    <w:lvl w:ilvl="5" w:tplc="A15496CE" w:tentative="1">
      <w:start w:val="1"/>
      <w:numFmt w:val="bullet"/>
      <w:lvlText w:val=""/>
      <w:lvlJc w:val="left"/>
      <w:pPr>
        <w:tabs>
          <w:tab w:val="num" w:pos="3960"/>
        </w:tabs>
        <w:ind w:left="3960" w:hanging="360"/>
      </w:pPr>
      <w:rPr>
        <w:rFonts w:ascii="Wingdings 2" w:hAnsi="Wingdings 2" w:hint="default"/>
      </w:rPr>
    </w:lvl>
    <w:lvl w:ilvl="6" w:tplc="D7A0D722" w:tentative="1">
      <w:start w:val="1"/>
      <w:numFmt w:val="bullet"/>
      <w:lvlText w:val=""/>
      <w:lvlJc w:val="left"/>
      <w:pPr>
        <w:tabs>
          <w:tab w:val="num" w:pos="4680"/>
        </w:tabs>
        <w:ind w:left="4680" w:hanging="360"/>
      </w:pPr>
      <w:rPr>
        <w:rFonts w:ascii="Wingdings 2" w:hAnsi="Wingdings 2" w:hint="default"/>
      </w:rPr>
    </w:lvl>
    <w:lvl w:ilvl="7" w:tplc="CA7814AC" w:tentative="1">
      <w:start w:val="1"/>
      <w:numFmt w:val="bullet"/>
      <w:lvlText w:val=""/>
      <w:lvlJc w:val="left"/>
      <w:pPr>
        <w:tabs>
          <w:tab w:val="num" w:pos="5400"/>
        </w:tabs>
        <w:ind w:left="5400" w:hanging="360"/>
      </w:pPr>
      <w:rPr>
        <w:rFonts w:ascii="Wingdings 2" w:hAnsi="Wingdings 2" w:hint="default"/>
      </w:rPr>
    </w:lvl>
    <w:lvl w:ilvl="8" w:tplc="7E1A1CCC" w:tentative="1">
      <w:start w:val="1"/>
      <w:numFmt w:val="bullet"/>
      <w:lvlText w:val=""/>
      <w:lvlJc w:val="left"/>
      <w:pPr>
        <w:tabs>
          <w:tab w:val="num" w:pos="6120"/>
        </w:tabs>
        <w:ind w:left="6120" w:hanging="360"/>
      </w:pPr>
      <w:rPr>
        <w:rFonts w:ascii="Wingdings 2" w:hAnsi="Wingdings 2" w:hint="default"/>
      </w:rPr>
    </w:lvl>
  </w:abstractNum>
  <w:abstractNum w:abstractNumId="1">
    <w:nsid w:val="1092745C"/>
    <w:multiLevelType w:val="hybridMultilevel"/>
    <w:tmpl w:val="085AB1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13723BCC"/>
    <w:multiLevelType w:val="hybridMultilevel"/>
    <w:tmpl w:val="61B85858"/>
    <w:lvl w:ilvl="0" w:tplc="E1D09A48">
      <w:start w:val="1"/>
      <w:numFmt w:val="bullet"/>
      <w:lvlText w:val=""/>
      <w:lvlJc w:val="left"/>
      <w:pPr>
        <w:tabs>
          <w:tab w:val="num" w:pos="360"/>
        </w:tabs>
        <w:ind w:left="360" w:hanging="360"/>
      </w:pPr>
      <w:rPr>
        <w:rFonts w:ascii="Wingdings 2" w:hAnsi="Wingdings 2"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D2B3B6B"/>
    <w:multiLevelType w:val="hybridMultilevel"/>
    <w:tmpl w:val="80140EC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4">
    <w:nsid w:val="1F9C4BD1"/>
    <w:multiLevelType w:val="hybridMultilevel"/>
    <w:tmpl w:val="AD448F00"/>
    <w:lvl w:ilvl="0" w:tplc="72EEA3BE">
      <w:start w:val="1"/>
      <w:numFmt w:val="bullet"/>
      <w:lvlText w:val=""/>
      <w:lvlJc w:val="left"/>
      <w:pPr>
        <w:tabs>
          <w:tab w:val="num" w:pos="360"/>
        </w:tabs>
        <w:ind w:left="360" w:hanging="360"/>
      </w:pPr>
      <w:rPr>
        <w:rFonts w:ascii="Wingdings 2" w:hAnsi="Wingdings 2" w:hint="default"/>
      </w:rPr>
    </w:lvl>
    <w:lvl w:ilvl="1" w:tplc="1BE6A634">
      <w:start w:val="1496"/>
      <w:numFmt w:val="bullet"/>
      <w:lvlText w:val=""/>
      <w:lvlJc w:val="left"/>
      <w:pPr>
        <w:tabs>
          <w:tab w:val="num" w:pos="1080"/>
        </w:tabs>
        <w:ind w:left="1080" w:hanging="360"/>
      </w:pPr>
      <w:rPr>
        <w:rFonts w:ascii="Wingdings 2" w:hAnsi="Wingdings 2" w:hint="default"/>
      </w:rPr>
    </w:lvl>
    <w:lvl w:ilvl="2" w:tplc="A7666FA8" w:tentative="1">
      <w:start w:val="1"/>
      <w:numFmt w:val="bullet"/>
      <w:lvlText w:val=""/>
      <w:lvlJc w:val="left"/>
      <w:pPr>
        <w:tabs>
          <w:tab w:val="num" w:pos="1800"/>
        </w:tabs>
        <w:ind w:left="1800" w:hanging="360"/>
      </w:pPr>
      <w:rPr>
        <w:rFonts w:ascii="Wingdings 2" w:hAnsi="Wingdings 2" w:hint="default"/>
      </w:rPr>
    </w:lvl>
    <w:lvl w:ilvl="3" w:tplc="FDF66938" w:tentative="1">
      <w:start w:val="1"/>
      <w:numFmt w:val="bullet"/>
      <w:lvlText w:val=""/>
      <w:lvlJc w:val="left"/>
      <w:pPr>
        <w:tabs>
          <w:tab w:val="num" w:pos="2520"/>
        </w:tabs>
        <w:ind w:left="2520" w:hanging="360"/>
      </w:pPr>
      <w:rPr>
        <w:rFonts w:ascii="Wingdings 2" w:hAnsi="Wingdings 2" w:hint="default"/>
      </w:rPr>
    </w:lvl>
    <w:lvl w:ilvl="4" w:tplc="28328B10" w:tentative="1">
      <w:start w:val="1"/>
      <w:numFmt w:val="bullet"/>
      <w:lvlText w:val=""/>
      <w:lvlJc w:val="left"/>
      <w:pPr>
        <w:tabs>
          <w:tab w:val="num" w:pos="3240"/>
        </w:tabs>
        <w:ind w:left="3240" w:hanging="360"/>
      </w:pPr>
      <w:rPr>
        <w:rFonts w:ascii="Wingdings 2" w:hAnsi="Wingdings 2" w:hint="default"/>
      </w:rPr>
    </w:lvl>
    <w:lvl w:ilvl="5" w:tplc="7696F14E" w:tentative="1">
      <w:start w:val="1"/>
      <w:numFmt w:val="bullet"/>
      <w:lvlText w:val=""/>
      <w:lvlJc w:val="left"/>
      <w:pPr>
        <w:tabs>
          <w:tab w:val="num" w:pos="3960"/>
        </w:tabs>
        <w:ind w:left="3960" w:hanging="360"/>
      </w:pPr>
      <w:rPr>
        <w:rFonts w:ascii="Wingdings 2" w:hAnsi="Wingdings 2" w:hint="default"/>
      </w:rPr>
    </w:lvl>
    <w:lvl w:ilvl="6" w:tplc="FE884986" w:tentative="1">
      <w:start w:val="1"/>
      <w:numFmt w:val="bullet"/>
      <w:lvlText w:val=""/>
      <w:lvlJc w:val="left"/>
      <w:pPr>
        <w:tabs>
          <w:tab w:val="num" w:pos="4680"/>
        </w:tabs>
        <w:ind w:left="4680" w:hanging="360"/>
      </w:pPr>
      <w:rPr>
        <w:rFonts w:ascii="Wingdings 2" w:hAnsi="Wingdings 2" w:hint="default"/>
      </w:rPr>
    </w:lvl>
    <w:lvl w:ilvl="7" w:tplc="FAF074BE" w:tentative="1">
      <w:start w:val="1"/>
      <w:numFmt w:val="bullet"/>
      <w:lvlText w:val=""/>
      <w:lvlJc w:val="left"/>
      <w:pPr>
        <w:tabs>
          <w:tab w:val="num" w:pos="5400"/>
        </w:tabs>
        <w:ind w:left="5400" w:hanging="360"/>
      </w:pPr>
      <w:rPr>
        <w:rFonts w:ascii="Wingdings 2" w:hAnsi="Wingdings 2" w:hint="default"/>
      </w:rPr>
    </w:lvl>
    <w:lvl w:ilvl="8" w:tplc="FF0AD64E" w:tentative="1">
      <w:start w:val="1"/>
      <w:numFmt w:val="bullet"/>
      <w:lvlText w:val=""/>
      <w:lvlJc w:val="left"/>
      <w:pPr>
        <w:tabs>
          <w:tab w:val="num" w:pos="6120"/>
        </w:tabs>
        <w:ind w:left="6120" w:hanging="360"/>
      </w:pPr>
      <w:rPr>
        <w:rFonts w:ascii="Wingdings 2" w:hAnsi="Wingdings 2" w:hint="default"/>
      </w:rPr>
    </w:lvl>
  </w:abstractNum>
  <w:abstractNum w:abstractNumId="5">
    <w:nsid w:val="212B1F06"/>
    <w:multiLevelType w:val="hybridMultilevel"/>
    <w:tmpl w:val="BF3AB10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6">
    <w:nsid w:val="3F9C17CC"/>
    <w:multiLevelType w:val="hybridMultilevel"/>
    <w:tmpl w:val="3BC07D84"/>
    <w:lvl w:ilvl="0" w:tplc="E1D09A48">
      <w:start w:val="1"/>
      <w:numFmt w:val="bullet"/>
      <w:lvlText w:val=""/>
      <w:lvlJc w:val="left"/>
      <w:pPr>
        <w:tabs>
          <w:tab w:val="num" w:pos="360"/>
        </w:tabs>
        <w:ind w:left="360" w:hanging="360"/>
      </w:pPr>
      <w:rPr>
        <w:rFonts w:ascii="Wingdings 2" w:hAnsi="Wingdings 2"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59CF15DE"/>
    <w:multiLevelType w:val="hybridMultilevel"/>
    <w:tmpl w:val="31BC82FC"/>
    <w:lvl w:ilvl="0" w:tplc="6D2495A6">
      <w:start w:val="1"/>
      <w:numFmt w:val="bullet"/>
      <w:lvlText w:val=""/>
      <w:lvlJc w:val="left"/>
      <w:pPr>
        <w:tabs>
          <w:tab w:val="num" w:pos="360"/>
        </w:tabs>
        <w:ind w:left="360" w:hanging="360"/>
      </w:pPr>
      <w:rPr>
        <w:rFonts w:ascii="Wingdings 2" w:hAnsi="Wingdings 2" w:hint="default"/>
      </w:rPr>
    </w:lvl>
    <w:lvl w:ilvl="1" w:tplc="9CB8BD24">
      <w:start w:val="1"/>
      <w:numFmt w:val="bullet"/>
      <w:lvlText w:val=""/>
      <w:lvlJc w:val="left"/>
      <w:pPr>
        <w:tabs>
          <w:tab w:val="num" w:pos="1080"/>
        </w:tabs>
        <w:ind w:left="1080" w:hanging="360"/>
      </w:pPr>
      <w:rPr>
        <w:rFonts w:ascii="Wingdings 2" w:hAnsi="Wingdings 2" w:hint="default"/>
      </w:rPr>
    </w:lvl>
    <w:lvl w:ilvl="2" w:tplc="B9AA2B9C">
      <w:start w:val="1"/>
      <w:numFmt w:val="bullet"/>
      <w:lvlText w:val=""/>
      <w:lvlJc w:val="left"/>
      <w:pPr>
        <w:tabs>
          <w:tab w:val="num" w:pos="1800"/>
        </w:tabs>
        <w:ind w:left="1800" w:hanging="360"/>
      </w:pPr>
      <w:rPr>
        <w:rFonts w:ascii="Wingdings 2" w:hAnsi="Wingdings 2" w:hint="default"/>
      </w:rPr>
    </w:lvl>
    <w:lvl w:ilvl="3" w:tplc="5C6ABE86">
      <w:start w:val="704"/>
      <w:numFmt w:val="bullet"/>
      <w:lvlText w:val=""/>
      <w:lvlJc w:val="left"/>
      <w:pPr>
        <w:tabs>
          <w:tab w:val="num" w:pos="2520"/>
        </w:tabs>
        <w:ind w:left="2520" w:hanging="360"/>
      </w:pPr>
      <w:rPr>
        <w:rFonts w:ascii="Wingdings 2" w:hAnsi="Wingdings 2" w:hint="default"/>
      </w:rPr>
    </w:lvl>
    <w:lvl w:ilvl="4" w:tplc="B3869BAC" w:tentative="1">
      <w:start w:val="1"/>
      <w:numFmt w:val="bullet"/>
      <w:lvlText w:val=""/>
      <w:lvlJc w:val="left"/>
      <w:pPr>
        <w:tabs>
          <w:tab w:val="num" w:pos="3240"/>
        </w:tabs>
        <w:ind w:left="3240" w:hanging="360"/>
      </w:pPr>
      <w:rPr>
        <w:rFonts w:ascii="Wingdings 2" w:hAnsi="Wingdings 2" w:hint="default"/>
      </w:rPr>
    </w:lvl>
    <w:lvl w:ilvl="5" w:tplc="C60098BC" w:tentative="1">
      <w:start w:val="1"/>
      <w:numFmt w:val="bullet"/>
      <w:lvlText w:val=""/>
      <w:lvlJc w:val="left"/>
      <w:pPr>
        <w:tabs>
          <w:tab w:val="num" w:pos="3960"/>
        </w:tabs>
        <w:ind w:left="3960" w:hanging="360"/>
      </w:pPr>
      <w:rPr>
        <w:rFonts w:ascii="Wingdings 2" w:hAnsi="Wingdings 2" w:hint="default"/>
      </w:rPr>
    </w:lvl>
    <w:lvl w:ilvl="6" w:tplc="C9D8E912" w:tentative="1">
      <w:start w:val="1"/>
      <w:numFmt w:val="bullet"/>
      <w:lvlText w:val=""/>
      <w:lvlJc w:val="left"/>
      <w:pPr>
        <w:tabs>
          <w:tab w:val="num" w:pos="4680"/>
        </w:tabs>
        <w:ind w:left="4680" w:hanging="360"/>
      </w:pPr>
      <w:rPr>
        <w:rFonts w:ascii="Wingdings 2" w:hAnsi="Wingdings 2" w:hint="default"/>
      </w:rPr>
    </w:lvl>
    <w:lvl w:ilvl="7" w:tplc="1BF013F4" w:tentative="1">
      <w:start w:val="1"/>
      <w:numFmt w:val="bullet"/>
      <w:lvlText w:val=""/>
      <w:lvlJc w:val="left"/>
      <w:pPr>
        <w:tabs>
          <w:tab w:val="num" w:pos="5400"/>
        </w:tabs>
        <w:ind w:left="5400" w:hanging="360"/>
      </w:pPr>
      <w:rPr>
        <w:rFonts w:ascii="Wingdings 2" w:hAnsi="Wingdings 2" w:hint="default"/>
      </w:rPr>
    </w:lvl>
    <w:lvl w:ilvl="8" w:tplc="D8188994" w:tentative="1">
      <w:start w:val="1"/>
      <w:numFmt w:val="bullet"/>
      <w:lvlText w:val=""/>
      <w:lvlJc w:val="left"/>
      <w:pPr>
        <w:tabs>
          <w:tab w:val="num" w:pos="6120"/>
        </w:tabs>
        <w:ind w:left="6120" w:hanging="360"/>
      </w:pPr>
      <w:rPr>
        <w:rFonts w:ascii="Wingdings 2" w:hAnsi="Wingdings 2" w:hint="default"/>
      </w:rPr>
    </w:lvl>
  </w:abstractNum>
  <w:abstractNum w:abstractNumId="8">
    <w:nsid w:val="7303151B"/>
    <w:multiLevelType w:val="hybridMultilevel"/>
    <w:tmpl w:val="AA36507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6"/>
  </w:num>
  <w:num w:numId="4">
    <w:abstractNumId w:val="7"/>
  </w:num>
  <w:num w:numId="5">
    <w:abstractNumId w:val="4"/>
  </w:num>
  <w:num w:numId="6">
    <w:abstractNumId w:val="1"/>
  </w:num>
  <w:num w:numId="7">
    <w:abstractNumId w:val="3"/>
  </w:num>
  <w:num w:numId="8">
    <w:abstractNumId w:val="8"/>
  </w:num>
  <w:num w:numId="9">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603"/>
    <w:rsid w:val="001C6F8E"/>
    <w:rsid w:val="00251603"/>
    <w:rsid w:val="007024D6"/>
    <w:rsid w:val="0082688A"/>
    <w:rsid w:val="00AF792E"/>
    <w:rsid w:val="00B84D67"/>
    <w:rsid w:val="00D86719"/>
    <w:rsid w:val="00E036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6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603"/>
    <w:pPr>
      <w:ind w:left="720"/>
      <w:contextualSpacing/>
    </w:pPr>
  </w:style>
  <w:style w:type="paragraph" w:styleId="PlainText">
    <w:name w:val="Plain Text"/>
    <w:basedOn w:val="Normal"/>
    <w:link w:val="PlainTextChar"/>
    <w:uiPriority w:val="99"/>
    <w:semiHidden/>
    <w:unhideWhenUsed/>
    <w:rsid w:val="00D8671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D86719"/>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6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603"/>
    <w:pPr>
      <w:ind w:left="720"/>
      <w:contextualSpacing/>
    </w:pPr>
  </w:style>
  <w:style w:type="paragraph" w:styleId="PlainText">
    <w:name w:val="Plain Text"/>
    <w:basedOn w:val="Normal"/>
    <w:link w:val="PlainTextChar"/>
    <w:uiPriority w:val="99"/>
    <w:semiHidden/>
    <w:unhideWhenUsed/>
    <w:rsid w:val="00D8671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D8671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08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Buhr, Glen FLNR:EX</dc:creator>
  <cp:lastModifiedBy>Buhr, Glen FLNR:EX</cp:lastModifiedBy>
  <cp:revision>3</cp:revision>
  <dcterms:created xsi:type="dcterms:W3CDTF">2017-09-21T17:36:00Z</dcterms:created>
  <dcterms:modified xsi:type="dcterms:W3CDTF">2017-09-21T18:43:00Z</dcterms:modified>
</cp:coreProperties>
</file>